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C60BA" w14:textId="376A05B9" w:rsidR="002505E8" w:rsidRPr="00012EF9" w:rsidRDefault="002505E8" w:rsidP="00A85952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27E91506" w14:textId="56DB0864" w:rsidR="00EA1A4E" w:rsidRPr="00C9384D" w:rsidRDefault="00336229" w:rsidP="008934C5">
      <w:pPr>
        <w:spacing w:after="0"/>
        <w:jc w:val="center"/>
        <w:rPr>
          <w:rFonts w:ascii="Times New Roman" w:hAnsi="Times New Roman"/>
          <w:b/>
          <w:color w:val="98134B"/>
        </w:rPr>
      </w:pPr>
      <w:r>
        <w:rPr>
          <w:rFonts w:ascii="Times New Roman" w:hAnsi="Times New Roman"/>
          <w:b/>
          <w:color w:val="98134B"/>
          <w:lang w:val="kk-KZ"/>
        </w:rPr>
        <w:t>Бланкілі тендерлік кепілдерді ұсыну талаптары</w:t>
      </w:r>
    </w:p>
    <w:p w14:paraId="29B0CD4A" w14:textId="09198C60" w:rsidR="001D765F" w:rsidRPr="008934C5" w:rsidRDefault="001D765F" w:rsidP="000B48E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9214"/>
      </w:tblGrid>
      <w:tr w:rsidR="000B48E7" w:rsidRPr="000B48E7" w14:paraId="35DE58CE" w14:textId="77777777" w:rsidTr="00EB5D85">
        <w:trPr>
          <w:jc w:val="center"/>
        </w:trPr>
        <w:tc>
          <w:tcPr>
            <w:tcW w:w="11194" w:type="dxa"/>
            <w:gridSpan w:val="2"/>
            <w:shd w:val="clear" w:color="auto" w:fill="auto"/>
          </w:tcPr>
          <w:p w14:paraId="7EC0648C" w14:textId="16747D67" w:rsidR="006C736F" w:rsidRPr="00F6246A" w:rsidRDefault="006C736F" w:rsidP="000B48E7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0B48E7">
              <w:rPr>
                <w:rFonts w:ascii="Times New Roman" w:hAnsi="Times New Roman"/>
                <w:b/>
                <w:lang w:val="en-US"/>
              </w:rPr>
              <w:t>I</w:t>
            </w:r>
            <w:r w:rsidR="00F6246A">
              <w:rPr>
                <w:rFonts w:ascii="Times New Roman" w:hAnsi="Times New Roman"/>
                <w:b/>
                <w:lang w:val="kk-KZ"/>
              </w:rPr>
              <w:t xml:space="preserve"> бөлім</w:t>
            </w:r>
            <w:r w:rsidRPr="000B48E7">
              <w:rPr>
                <w:rFonts w:ascii="Times New Roman" w:hAnsi="Times New Roman"/>
                <w:b/>
              </w:rPr>
              <w:t xml:space="preserve">. </w:t>
            </w:r>
            <w:r w:rsidR="00F6246A">
              <w:rPr>
                <w:rFonts w:ascii="Times New Roman" w:hAnsi="Times New Roman"/>
                <w:b/>
                <w:lang w:val="kk-KZ"/>
              </w:rPr>
              <w:t xml:space="preserve">Жалпы бөлім </w:t>
            </w:r>
          </w:p>
        </w:tc>
      </w:tr>
      <w:tr w:rsidR="000B48E7" w:rsidRPr="000B48E7" w14:paraId="2B0597CC" w14:textId="77777777" w:rsidTr="002047D4">
        <w:trPr>
          <w:jc w:val="center"/>
        </w:trPr>
        <w:tc>
          <w:tcPr>
            <w:tcW w:w="1980" w:type="dxa"/>
            <w:shd w:val="clear" w:color="auto" w:fill="auto"/>
          </w:tcPr>
          <w:p w14:paraId="579BF8EE" w14:textId="34839CE9" w:rsidR="001D765F" w:rsidRPr="00F6246A" w:rsidRDefault="00F6246A" w:rsidP="00EB5D85">
            <w:pPr>
              <w:spacing w:after="0"/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 xml:space="preserve">Кепіл түрі </w:t>
            </w:r>
          </w:p>
        </w:tc>
        <w:tc>
          <w:tcPr>
            <w:tcW w:w="9214" w:type="dxa"/>
            <w:shd w:val="clear" w:color="auto" w:fill="auto"/>
          </w:tcPr>
          <w:p w14:paraId="15A9B807" w14:textId="6A962998" w:rsidR="001D765F" w:rsidRPr="00EB5D85" w:rsidRDefault="00EB5D85" w:rsidP="00CE1F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5D85">
              <w:rPr>
                <w:rFonts w:ascii="Times New Roman" w:hAnsi="Times New Roman"/>
                <w:sz w:val="20"/>
                <w:szCs w:val="20"/>
              </w:rPr>
              <w:t>Бланк</w:t>
            </w:r>
            <w:r w:rsidR="00F6246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тік </w:t>
            </w:r>
            <w:r w:rsidRPr="00EB5D85">
              <w:rPr>
                <w:rFonts w:ascii="Times New Roman" w:hAnsi="Times New Roman"/>
                <w:sz w:val="20"/>
                <w:szCs w:val="20"/>
              </w:rPr>
              <w:t>тендер</w:t>
            </w:r>
            <w:r w:rsidR="00F6246A">
              <w:rPr>
                <w:rFonts w:ascii="Times New Roman" w:hAnsi="Times New Roman"/>
                <w:sz w:val="20"/>
                <w:szCs w:val="20"/>
                <w:lang w:val="kk-KZ"/>
              </w:rPr>
              <w:t>лік кепілдер</w:t>
            </w:r>
            <w:r w:rsidRPr="00EB5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B5D85" w:rsidRPr="000B48E7" w14:paraId="2305847B" w14:textId="77777777" w:rsidTr="002047D4">
        <w:trPr>
          <w:jc w:val="center"/>
        </w:trPr>
        <w:tc>
          <w:tcPr>
            <w:tcW w:w="1980" w:type="dxa"/>
            <w:shd w:val="clear" w:color="auto" w:fill="auto"/>
          </w:tcPr>
          <w:p w14:paraId="42A61C2A" w14:textId="38773367" w:rsidR="00EB5D85" w:rsidRPr="00F6246A" w:rsidRDefault="00F6246A" w:rsidP="00EB5D85">
            <w:pPr>
              <w:spacing w:after="0"/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 xml:space="preserve">Кепіл валютасы </w:t>
            </w:r>
          </w:p>
        </w:tc>
        <w:tc>
          <w:tcPr>
            <w:tcW w:w="9214" w:type="dxa"/>
            <w:shd w:val="clear" w:color="auto" w:fill="auto"/>
          </w:tcPr>
          <w:p w14:paraId="79934D33" w14:textId="0FD0EB6C" w:rsidR="00EB5D85" w:rsidRPr="00EB5D85" w:rsidRDefault="00EB5D85" w:rsidP="00EB5D8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5D85">
              <w:rPr>
                <w:rFonts w:ascii="Times New Roman" w:hAnsi="Times New Roman"/>
                <w:sz w:val="20"/>
                <w:szCs w:val="20"/>
                <w:lang w:val="en-US"/>
              </w:rPr>
              <w:t>KZT</w:t>
            </w:r>
          </w:p>
        </w:tc>
      </w:tr>
      <w:tr w:rsidR="000B48E7" w:rsidRPr="000B48E7" w14:paraId="44A33AFB" w14:textId="77777777" w:rsidTr="002047D4">
        <w:trPr>
          <w:trHeight w:val="591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5C4AF70" w14:textId="006E1B7F" w:rsidR="000B48E7" w:rsidRPr="00F6246A" w:rsidRDefault="00F6246A" w:rsidP="00EA1A4E">
            <w:pPr>
              <w:spacing w:after="0"/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 xml:space="preserve">Бланк кепілдің түрі 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08BA44A" w14:textId="68EBD0D2" w:rsidR="000B48E7" w:rsidRPr="000B48E7" w:rsidRDefault="000B48E7" w:rsidP="000B48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48E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651D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орташа айлық </w:t>
            </w:r>
            <w:r w:rsidR="00C54C9E">
              <w:rPr>
                <w:rFonts w:ascii="Times New Roman" w:hAnsi="Times New Roman"/>
                <w:sz w:val="20"/>
                <w:szCs w:val="20"/>
                <w:lang w:val="kk-KZ"/>
              </w:rPr>
              <w:t>кредиттік айналымдарды ескере отырып</w:t>
            </w:r>
            <w:r w:rsidRPr="000B48E7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058B1B4E" w14:textId="7A0E351D" w:rsidR="000B48E7" w:rsidRPr="00C54C9E" w:rsidRDefault="000B48E7" w:rsidP="000B48E7">
            <w:pPr>
              <w:spacing w:after="0"/>
              <w:rPr>
                <w:rFonts w:ascii="Times New Roman" w:hAnsi="Times New Roman"/>
                <w:lang w:val="kk-KZ"/>
              </w:rPr>
            </w:pPr>
            <w:r w:rsidRPr="000B48E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4C9E" w:rsidRPr="00C54C9E">
              <w:rPr>
                <w:rFonts w:ascii="Times New Roman" w:hAnsi="Times New Roman"/>
                <w:sz w:val="20"/>
                <w:szCs w:val="20"/>
              </w:rPr>
              <w:t>орташа айлық кредиттік айналымдарды</w:t>
            </w:r>
            <w:r w:rsidR="00C54C9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ескермегенде </w:t>
            </w:r>
          </w:p>
        </w:tc>
      </w:tr>
      <w:tr w:rsidR="000B48E7" w:rsidRPr="000E39BA" w14:paraId="654571E9" w14:textId="77777777" w:rsidTr="002047D4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3306D63" w14:textId="19AE5E9D" w:rsidR="000B48E7" w:rsidRPr="00F6246A" w:rsidRDefault="00F6246A" w:rsidP="00EA1A4E">
            <w:pPr>
              <w:spacing w:after="0"/>
              <w:rPr>
                <w:rFonts w:cstheme="minorHAnsi"/>
                <w:b/>
                <w:color w:val="98134B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 xml:space="preserve">Шығару талаптары 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3E14CA0" w14:textId="105B6545" w:rsidR="000B48E7" w:rsidRPr="00C54C9E" w:rsidRDefault="00C54C9E" w:rsidP="009D78F0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Бланкілік кепілдер бойынша қосылу туралы өтініш шегінде</w:t>
            </w:r>
            <w:r w:rsidR="000B48E7" w:rsidRPr="00C54C9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</w:tr>
      <w:tr w:rsidR="000B48E7" w:rsidRPr="000B48E7" w14:paraId="2CAE1906" w14:textId="77777777" w:rsidTr="002047D4">
        <w:trPr>
          <w:jc w:val="center"/>
        </w:trPr>
        <w:tc>
          <w:tcPr>
            <w:tcW w:w="1980" w:type="dxa"/>
            <w:shd w:val="clear" w:color="auto" w:fill="auto"/>
          </w:tcPr>
          <w:p w14:paraId="109D29E1" w14:textId="24C61621" w:rsidR="000B48E7" w:rsidRPr="00F6246A" w:rsidRDefault="00F6246A" w:rsidP="000B48E7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 xml:space="preserve">Клиентке </w:t>
            </w:r>
            <w:r w:rsidR="000B48E7" w:rsidRPr="00EA1A4E">
              <w:rPr>
                <w:rFonts w:ascii="Times New Roman" w:hAnsi="Times New Roman"/>
                <w:b/>
                <w:color w:val="98134B"/>
                <w:sz w:val="20"/>
                <w:szCs w:val="20"/>
              </w:rPr>
              <w:t xml:space="preserve"> (Принципал</w:t>
            </w:r>
            <w:r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>ға</w:t>
            </w:r>
            <w:r w:rsidR="000B48E7" w:rsidRPr="00EA1A4E">
              <w:rPr>
                <w:rFonts w:ascii="Times New Roman" w:hAnsi="Times New Roman"/>
                <w:b/>
                <w:color w:val="98134B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 xml:space="preserve"> қойылатын талаптар </w:t>
            </w:r>
          </w:p>
        </w:tc>
        <w:tc>
          <w:tcPr>
            <w:tcW w:w="9214" w:type="dxa"/>
            <w:shd w:val="clear" w:color="auto" w:fill="auto"/>
          </w:tcPr>
          <w:p w14:paraId="6A6DF44A" w14:textId="03CC54B3" w:rsidR="000B48E7" w:rsidRPr="00C54C9E" w:rsidRDefault="000B48E7" w:rsidP="00EA1A4E">
            <w:pPr>
              <w:spacing w:after="0"/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</w:pPr>
            <w:r w:rsidRPr="00C54C9E"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 xml:space="preserve">1. </w:t>
            </w:r>
            <w:r w:rsidR="00C54C9E" w:rsidRPr="00C54C9E"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>Бланкілік кепілдер бойынша қосылу туралы өтініш</w:t>
            </w:r>
            <w:r w:rsidR="00C54C9E"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>ті жасаған кезде</w:t>
            </w:r>
            <w:r w:rsidRPr="00C54C9E"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>:</w:t>
            </w:r>
          </w:p>
          <w:p w14:paraId="1741B7A4" w14:textId="713CC023" w:rsidR="000B48E7" w:rsidRPr="000B48E7" w:rsidRDefault="000B48E7" w:rsidP="000B48E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8E7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A85952">
              <w:rPr>
                <w:rFonts w:ascii="Times New Roman" w:hAnsi="Times New Roman"/>
                <w:sz w:val="20"/>
                <w:szCs w:val="20"/>
                <w:lang w:val="kk-KZ"/>
              </w:rPr>
              <w:t>Банкте банктік ағымдағы шоттың болуы</w:t>
            </w:r>
            <w:r w:rsidRPr="000B48E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F2ED29D" w14:textId="366BE375" w:rsidR="000B48E7" w:rsidRPr="000B48E7" w:rsidRDefault="000B48E7" w:rsidP="000B48E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8E7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A276E3">
              <w:rPr>
                <w:rFonts w:ascii="Times New Roman" w:hAnsi="Times New Roman"/>
                <w:sz w:val="20"/>
                <w:szCs w:val="20"/>
                <w:lang w:val="kk-KZ"/>
              </w:rPr>
              <w:t>Клиенттің банктік шоттарына қатысты мерзімінде төленбеген төлем құжаттарының жоқ болуы, клиенттің бюджет алдындағы берешегінің жоқ болуы</w:t>
            </w:r>
            <w:r w:rsidR="009D78F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276E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оның ішінде </w:t>
            </w:r>
            <w:r w:rsidR="00AC1DD5">
              <w:rPr>
                <w:rFonts w:ascii="Times New Roman" w:hAnsi="Times New Roman"/>
                <w:sz w:val="20"/>
                <w:szCs w:val="20"/>
                <w:lang w:val="kk-KZ"/>
              </w:rPr>
              <w:t>ақша жіберушінің акцептін</w:t>
            </w:r>
            <w:r w:rsidRPr="000B48E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C1DD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сонымен қатар шығын операцияларын тоқтату туралы өкімдердің және тыйым салуды </w:t>
            </w:r>
            <w:r w:rsidR="00AC1DD5" w:rsidRPr="00AC1DD5">
              <w:rPr>
                <w:rFonts w:ascii="Times New Roman" w:hAnsi="Times New Roman"/>
                <w:sz w:val="20"/>
                <w:szCs w:val="20"/>
                <w:lang w:val="kk-KZ"/>
              </w:rPr>
              <w:t>талап етпейтін</w:t>
            </w:r>
            <w:r w:rsidRPr="000B48E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252A82D" w14:textId="2213179A" w:rsidR="000B48E7" w:rsidRPr="000B48E7" w:rsidRDefault="000B48E7" w:rsidP="000B48E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8E7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AC1DD5">
              <w:rPr>
                <w:rFonts w:ascii="Times New Roman" w:hAnsi="Times New Roman"/>
                <w:sz w:val="20"/>
                <w:szCs w:val="20"/>
                <w:lang w:val="kk-KZ"/>
              </w:rPr>
              <w:t>клиенттің қолданыстағы Кредиттік құралдары бойынша Банк және екінші деңгейлі банктер алдындағы мерзімі өткен міндеттемелерінің жоқ болуы</w:t>
            </w:r>
            <w:r w:rsidRPr="000B48E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C1D32AF" w14:textId="7F58D205" w:rsidR="000B48E7" w:rsidRPr="00EA1A4E" w:rsidRDefault="000B48E7" w:rsidP="00EA1A4E">
            <w:pPr>
              <w:spacing w:after="0"/>
              <w:jc w:val="both"/>
              <w:rPr>
                <w:rFonts w:ascii="Times New Roman" w:hAnsi="Times New Roman"/>
                <w:b/>
                <w:color w:val="98134B"/>
                <w:sz w:val="20"/>
                <w:szCs w:val="20"/>
              </w:rPr>
            </w:pPr>
            <w:r w:rsidRPr="00EA1A4E">
              <w:rPr>
                <w:rFonts w:ascii="Times New Roman" w:hAnsi="Times New Roman"/>
                <w:b/>
                <w:color w:val="98134B"/>
                <w:sz w:val="20"/>
                <w:szCs w:val="20"/>
              </w:rPr>
              <w:t xml:space="preserve">2. </w:t>
            </w:r>
            <w:r w:rsidR="00C54C9E" w:rsidRPr="00C54C9E">
              <w:rPr>
                <w:rFonts w:ascii="Times New Roman" w:hAnsi="Times New Roman"/>
                <w:b/>
                <w:color w:val="98134B"/>
                <w:sz w:val="20"/>
                <w:szCs w:val="20"/>
              </w:rPr>
              <w:t>Бланкілік кепілдер бойынша қосылу туралы өтініш шегінде</w:t>
            </w:r>
            <w:r w:rsidR="00C54C9E"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 xml:space="preserve"> әр кепілді шығарған кезде</w:t>
            </w:r>
            <w:r w:rsidRPr="00EA1A4E">
              <w:rPr>
                <w:rFonts w:ascii="Times New Roman" w:hAnsi="Times New Roman"/>
                <w:b/>
                <w:color w:val="98134B"/>
                <w:sz w:val="20"/>
                <w:szCs w:val="20"/>
              </w:rPr>
              <w:t>:</w:t>
            </w:r>
          </w:p>
          <w:p w14:paraId="672E4AAC" w14:textId="4B357709" w:rsidR="000B48E7" w:rsidRPr="000B48E7" w:rsidRDefault="000B48E7" w:rsidP="000B48E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8E7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AC1DD5" w:rsidRPr="00AC1DD5">
              <w:rPr>
                <w:rFonts w:ascii="Times New Roman" w:hAnsi="Times New Roman"/>
                <w:sz w:val="20"/>
                <w:szCs w:val="20"/>
              </w:rPr>
              <w:t>Клиенттің банктік шоттарына қатысты мерзімінде төленбеген төлем құжаттарының жоқ болуы</w:t>
            </w:r>
            <w:r w:rsidRPr="000B48E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C1DD5" w:rsidRPr="00AC1DD5">
              <w:rPr>
                <w:rFonts w:ascii="Times New Roman" w:hAnsi="Times New Roman"/>
                <w:sz w:val="20"/>
                <w:szCs w:val="20"/>
              </w:rPr>
              <w:t>оның ішінде ақша жіберушінің акцептін, сонымен қатар шығын операцияларын тоқтату туралы өкімдердің және тыйым салуды талап етпейтін</w:t>
            </w:r>
            <w:r w:rsidRPr="000B48E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7E6649A" w14:textId="21802507" w:rsidR="000B48E7" w:rsidRPr="000B48E7" w:rsidRDefault="000B48E7" w:rsidP="00C81C3F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0B48E7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A276E3">
              <w:rPr>
                <w:rFonts w:ascii="Times New Roman" w:hAnsi="Times New Roman"/>
                <w:sz w:val="20"/>
                <w:szCs w:val="20"/>
                <w:lang w:val="kk-KZ"/>
              </w:rPr>
              <w:t>Банк алдындағы қолданыстағы кредиттік құралдар бойынша клиенттің мерзімі өткен міндеттемелерінің жоқ болуы</w:t>
            </w:r>
            <w:r w:rsidRPr="000B48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6246A" w:rsidRPr="000E39BA" w14:paraId="194E4B0F" w14:textId="77777777" w:rsidTr="002047D4">
        <w:trPr>
          <w:jc w:val="center"/>
        </w:trPr>
        <w:tc>
          <w:tcPr>
            <w:tcW w:w="1980" w:type="dxa"/>
            <w:shd w:val="clear" w:color="auto" w:fill="auto"/>
          </w:tcPr>
          <w:p w14:paraId="2E02D40C" w14:textId="1DC89126" w:rsidR="00F6246A" w:rsidRPr="00F6246A" w:rsidRDefault="00F6246A" w:rsidP="00F6246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246A"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 xml:space="preserve">Сатып алу түрі 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8731E22" w14:textId="1586746F" w:rsidR="00F6246A" w:rsidRPr="00336229" w:rsidRDefault="00F6246A" w:rsidP="00F6246A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B48E7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33622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мемлекеттік сатып алу </w:t>
            </w:r>
          </w:p>
          <w:p w14:paraId="5357D890" w14:textId="52E26831" w:rsidR="00F6246A" w:rsidRPr="00191207" w:rsidRDefault="00F6246A" w:rsidP="00F62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91207">
              <w:rPr>
                <w:rFonts w:ascii="Times New Roman" w:hAnsi="Times New Roman"/>
                <w:sz w:val="20"/>
                <w:szCs w:val="20"/>
                <w:lang w:val="kk-KZ"/>
              </w:rPr>
              <w:t>2) «Сам</w:t>
            </w:r>
            <w:r w:rsidR="00A85952">
              <w:rPr>
                <w:rFonts w:ascii="Times New Roman" w:hAnsi="Times New Roman"/>
                <w:sz w:val="20"/>
                <w:szCs w:val="20"/>
                <w:lang w:val="kk-KZ"/>
              </w:rPr>
              <w:t>ұрық</w:t>
            </w:r>
            <w:r w:rsidRPr="00191207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A85952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  <w:r w:rsidRPr="00191207">
              <w:rPr>
                <w:rFonts w:ascii="Times New Roman" w:hAnsi="Times New Roman"/>
                <w:sz w:val="20"/>
                <w:szCs w:val="20"/>
                <w:lang w:val="kk-KZ"/>
              </w:rPr>
              <w:t>азына»</w:t>
            </w:r>
            <w:r w:rsidR="00A859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ҰӘАҚ» АҚ</w:t>
            </w:r>
            <w:r w:rsidRPr="0019120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91207">
              <w:rPr>
                <w:rFonts w:ascii="Times New Roman" w:hAnsi="Times New Roman"/>
                <w:sz w:val="20"/>
                <w:szCs w:val="20"/>
                <w:lang w:val="kk-KZ"/>
              </w:rPr>
              <w:t>және Қорға тікелей немесе жанама түрде (қатысу үлесі) елу және одан да көп процентінің дауыс беру акциялары бар ұйымдар өткізетін сатып алу</w:t>
            </w:r>
            <w:r w:rsidRPr="00191207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14:paraId="16E63A11" w14:textId="200FEE53" w:rsidR="00F6246A" w:rsidRPr="000E39BA" w:rsidRDefault="00F6246A" w:rsidP="00F6246A">
            <w:pPr>
              <w:spacing w:after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0E39B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3) </w:t>
            </w:r>
            <w:r w:rsidR="00336229">
              <w:rPr>
                <w:rFonts w:ascii="Times New Roman" w:hAnsi="Times New Roman"/>
                <w:sz w:val="20"/>
                <w:szCs w:val="20"/>
                <w:lang w:val="kk-KZ"/>
              </w:rPr>
              <w:t>Бас Банкпен келісу арқылы анықталған ұйымдардың сатып алуы</w:t>
            </w:r>
          </w:p>
        </w:tc>
      </w:tr>
      <w:tr w:rsidR="00F6246A" w:rsidRPr="000B48E7" w14:paraId="02E8BA19" w14:textId="77777777" w:rsidTr="002047D4">
        <w:trPr>
          <w:jc w:val="center"/>
        </w:trPr>
        <w:tc>
          <w:tcPr>
            <w:tcW w:w="1980" w:type="dxa"/>
            <w:shd w:val="clear" w:color="auto" w:fill="auto"/>
          </w:tcPr>
          <w:p w14:paraId="6BA250B8" w14:textId="54EB708B" w:rsidR="00F6246A" w:rsidRPr="00F6246A" w:rsidRDefault="00F6246A" w:rsidP="00F6246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246A"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 xml:space="preserve">Кепілдің ең төменгі сомасы </w:t>
            </w:r>
            <w:r w:rsidRPr="00F6246A">
              <w:rPr>
                <w:rFonts w:ascii="Times New Roman" w:hAnsi="Times New Roman"/>
                <w:b/>
                <w:color w:val="98134B"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14:paraId="4CFF8D9E" w14:textId="6E280137" w:rsidR="00F6246A" w:rsidRPr="00F6246A" w:rsidRDefault="00F6246A" w:rsidP="00F6246A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Шектеу жоқ </w:t>
            </w:r>
          </w:p>
        </w:tc>
      </w:tr>
      <w:tr w:rsidR="00F6246A" w:rsidRPr="000E39BA" w14:paraId="30284796" w14:textId="77777777" w:rsidTr="002047D4">
        <w:trPr>
          <w:jc w:val="center"/>
        </w:trPr>
        <w:tc>
          <w:tcPr>
            <w:tcW w:w="1980" w:type="dxa"/>
            <w:shd w:val="clear" w:color="auto" w:fill="auto"/>
          </w:tcPr>
          <w:p w14:paraId="35380070" w14:textId="08E7EA8D" w:rsidR="00F6246A" w:rsidRPr="00F6246A" w:rsidRDefault="00F6246A" w:rsidP="00F6246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246A"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 xml:space="preserve">Кепілдің ең жоғарғы сомасы </w:t>
            </w:r>
          </w:p>
        </w:tc>
        <w:tc>
          <w:tcPr>
            <w:tcW w:w="9214" w:type="dxa"/>
            <w:shd w:val="clear" w:color="auto" w:fill="auto"/>
          </w:tcPr>
          <w:p w14:paraId="55D1D738" w14:textId="6C1238FC" w:rsidR="00F6246A" w:rsidRPr="00A276E3" w:rsidRDefault="00F6246A" w:rsidP="00F6246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19120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сұралған және әрекеттегі бланкілі кепілдердің сомасы </w:t>
            </w:r>
            <w:r w:rsidRPr="009B299C">
              <w:rPr>
                <w:rFonts w:ascii="Times New Roman" w:hAnsi="Times New Roman"/>
                <w:b/>
                <w:color w:val="98134B"/>
                <w:sz w:val="20"/>
                <w:szCs w:val="20"/>
              </w:rPr>
              <w:t>200 000 000 (</w:t>
            </w:r>
            <w:r w:rsidR="00191207"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>Екі жүз миллион</w:t>
            </w:r>
            <w:r w:rsidRPr="009B299C">
              <w:rPr>
                <w:rFonts w:ascii="Times New Roman" w:hAnsi="Times New Roman"/>
                <w:b/>
                <w:color w:val="98134B"/>
                <w:sz w:val="20"/>
                <w:szCs w:val="20"/>
              </w:rPr>
              <w:t>) те</w:t>
            </w:r>
            <w:r w:rsidR="00191207"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>ң</w:t>
            </w:r>
            <w:r w:rsidRPr="009B299C">
              <w:rPr>
                <w:rFonts w:ascii="Times New Roman" w:hAnsi="Times New Roman"/>
                <w:b/>
                <w:color w:val="98134B"/>
                <w:sz w:val="20"/>
                <w:szCs w:val="20"/>
              </w:rPr>
              <w:t>ге</w:t>
            </w:r>
            <w:r w:rsidR="00191207"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 xml:space="preserve">ден </w:t>
            </w:r>
            <w:r w:rsidR="00191207" w:rsidRPr="0019120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аспауы тиіс</w:t>
            </w:r>
            <w:r w:rsidR="00191207" w:rsidRPr="00A276E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,</w:t>
            </w:r>
            <w:r w:rsidR="00191207"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 xml:space="preserve"> </w:t>
            </w:r>
            <w:r w:rsidR="00A276E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бұл ретте бір кепілдің сомасы </w:t>
            </w:r>
            <w:r w:rsidRPr="009B299C">
              <w:rPr>
                <w:rFonts w:ascii="Times New Roman" w:hAnsi="Times New Roman"/>
                <w:b/>
                <w:color w:val="98134B"/>
                <w:sz w:val="20"/>
                <w:szCs w:val="20"/>
              </w:rPr>
              <w:t>150 000 000 (</w:t>
            </w:r>
            <w:r w:rsidR="00A276E3"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>Бір жүз елу миллион</w:t>
            </w:r>
            <w:r w:rsidRPr="009B299C">
              <w:rPr>
                <w:rFonts w:ascii="Times New Roman" w:hAnsi="Times New Roman"/>
                <w:b/>
                <w:color w:val="98134B"/>
                <w:sz w:val="20"/>
                <w:szCs w:val="20"/>
              </w:rPr>
              <w:t>) те</w:t>
            </w:r>
            <w:r w:rsidR="00A276E3"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>ң</w:t>
            </w:r>
            <w:r w:rsidRPr="009B299C">
              <w:rPr>
                <w:rFonts w:ascii="Times New Roman" w:hAnsi="Times New Roman"/>
                <w:b/>
                <w:color w:val="98134B"/>
                <w:sz w:val="20"/>
                <w:szCs w:val="20"/>
              </w:rPr>
              <w:t>ге</w:t>
            </w:r>
            <w:r w:rsidR="00A276E3"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>ден</w:t>
            </w:r>
            <w:r w:rsidR="00A276E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аспауы тиіс; </w:t>
            </w:r>
          </w:p>
          <w:p w14:paraId="4BAB1AA3" w14:textId="6584318D" w:rsidR="00F6246A" w:rsidRPr="00A276E3" w:rsidRDefault="00F6246A" w:rsidP="00F6246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A276E3">
              <w:rPr>
                <w:rFonts w:ascii="Times New Roman" w:hAnsi="Times New Roman"/>
                <w:sz w:val="20"/>
                <w:szCs w:val="20"/>
                <w:lang w:val="kk-KZ"/>
              </w:rPr>
              <w:t>2)</w:t>
            </w:r>
            <w:r w:rsidRPr="00DD5E1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A276E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Банкпен ерекше қатынастағы тұлғаларға </w:t>
            </w:r>
            <w:r w:rsidRPr="00A276E3">
              <w:rPr>
                <w:rFonts w:ascii="Times New Roman" w:hAnsi="Times New Roman"/>
                <w:sz w:val="20"/>
                <w:szCs w:val="20"/>
                <w:lang w:val="kk-KZ"/>
              </w:rPr>
              <w:t>бланк</w:t>
            </w:r>
            <w:r w:rsidR="00A276E3">
              <w:rPr>
                <w:rFonts w:ascii="Times New Roman" w:hAnsi="Times New Roman"/>
                <w:sz w:val="20"/>
                <w:szCs w:val="20"/>
                <w:lang w:val="kk-KZ"/>
              </w:rPr>
              <w:t>ілі</w:t>
            </w:r>
            <w:r w:rsidRPr="00A276E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тендер</w:t>
            </w:r>
            <w:r w:rsidR="00A276E3">
              <w:rPr>
                <w:rFonts w:ascii="Times New Roman" w:hAnsi="Times New Roman"/>
                <w:sz w:val="20"/>
                <w:szCs w:val="20"/>
                <w:lang w:val="kk-KZ"/>
              </w:rPr>
              <w:t>лік</w:t>
            </w:r>
            <w:r w:rsidRPr="00A276E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A276E3">
              <w:rPr>
                <w:rFonts w:ascii="Times New Roman" w:hAnsi="Times New Roman"/>
                <w:sz w:val="20"/>
                <w:szCs w:val="20"/>
                <w:lang w:val="kk-KZ"/>
              </w:rPr>
              <w:t>кепілдер</w:t>
            </w:r>
            <w:r w:rsidRPr="00A276E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276E3"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>20 000 000 (</w:t>
            </w:r>
            <w:r w:rsidR="00A276E3"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>Жиырма</w:t>
            </w:r>
            <w:r w:rsidRPr="00A276E3"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 xml:space="preserve"> миллион) те</w:t>
            </w:r>
            <w:r w:rsidR="00A276E3"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>ң</w:t>
            </w:r>
            <w:r w:rsidRPr="00A276E3"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>ге</w:t>
            </w:r>
            <w:r w:rsidR="00A276E3"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 xml:space="preserve"> </w:t>
            </w:r>
            <w:r w:rsidR="00A276E3" w:rsidRPr="00A276E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мөлшерінде берілуі мүмкін</w:t>
            </w:r>
            <w:r w:rsidRPr="00A276E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="00A276E3">
              <w:rPr>
                <w:rFonts w:ascii="Times New Roman" w:hAnsi="Times New Roman"/>
                <w:sz w:val="20"/>
                <w:szCs w:val="20"/>
                <w:lang w:val="kk-KZ"/>
              </w:rPr>
              <w:t>Қазақстан Республикасының заңнама талаптарына сәйкес</w:t>
            </w:r>
            <w:r w:rsidRPr="00A276E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="00A276E3">
              <w:rPr>
                <w:rFonts w:ascii="Times New Roman" w:hAnsi="Times New Roman"/>
                <w:sz w:val="20"/>
                <w:szCs w:val="20"/>
                <w:lang w:val="kk-KZ"/>
              </w:rPr>
              <w:t>жеңілдікті талаптарды ұсынбай</w:t>
            </w:r>
            <w:r w:rsidR="00A276E3" w:rsidRPr="00A276E3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="00A276E3">
              <w:rPr>
                <w:rFonts w:ascii="Times New Roman" w:hAnsi="Times New Roman"/>
                <w:sz w:val="20"/>
                <w:szCs w:val="20"/>
                <w:lang w:val="kk-KZ"/>
              </w:rPr>
              <w:t>ақ</w:t>
            </w:r>
            <w:r w:rsidRPr="00A276E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;</w:t>
            </w:r>
          </w:p>
          <w:p w14:paraId="2E1AFE89" w14:textId="1C8F8D86" w:rsidR="00F6246A" w:rsidRPr="00AC1DD5" w:rsidRDefault="00F6246A" w:rsidP="00F6246A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AC1DD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3) </w:t>
            </w:r>
            <w:r w:rsidR="00AC1DD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сұралған бланкілі тендерлік кепілдердің сомасы және клиенттің барлық кредит құралдары бойынша банк алдындағы берешек сомасы </w:t>
            </w:r>
            <w:r w:rsidRPr="00AC1DD5"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>Банк</w:t>
            </w:r>
            <w:r w:rsidR="00AC1DD5"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 xml:space="preserve">тің жеке капиталының </w:t>
            </w:r>
            <w:r w:rsidR="00AC1DD5" w:rsidRPr="00AC1DD5"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>5%</w:t>
            </w:r>
            <w:r w:rsidR="00AC1DD5"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 xml:space="preserve"> аспауы тиіс</w:t>
            </w:r>
            <w:r w:rsidRPr="00AC1DD5"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>;</w:t>
            </w:r>
          </w:p>
          <w:p w14:paraId="67BF4789" w14:textId="2C240230" w:rsidR="00F6246A" w:rsidRPr="00AC1DD5" w:rsidRDefault="00F6246A" w:rsidP="00F6246A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AC1DD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4) </w:t>
            </w:r>
            <w:r w:rsidR="00AC1DD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клиенттің айналымдарын ескере отырып, бланкілі тендерлі кепілдерді шығарған жағдайда</w:t>
            </w:r>
            <w:r w:rsidRPr="00AC1DD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, </w:t>
            </w:r>
            <w:r w:rsidR="00AC1DD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сұралған және қолданыстағы бланкілі тендерлік кепілдердің бірлескен сомасы Банктегі соңғы </w:t>
            </w:r>
            <w:r w:rsidR="00AC1DD5" w:rsidRPr="00AC1DD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12 </w:t>
            </w:r>
            <w:r w:rsidR="00AC1DD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айдағы тазартылған орташа айлық айналымдардың </w:t>
            </w:r>
            <w:r w:rsidRPr="00AC1DD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50% </w:t>
            </w:r>
            <w:r w:rsidR="00AC1DD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немесе басқа банктегі </w:t>
            </w:r>
            <w:r w:rsidR="00AC1DD5" w:rsidRPr="00AC1DD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соңғы 12 айдағы тазартылған орташа айлық айналымдардың </w:t>
            </w:r>
            <w:r w:rsidRPr="00AC1DD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30%.</w:t>
            </w:r>
          </w:p>
        </w:tc>
      </w:tr>
      <w:tr w:rsidR="000B48E7" w:rsidRPr="000E39BA" w14:paraId="16385B3D" w14:textId="77777777" w:rsidTr="002047D4">
        <w:trPr>
          <w:jc w:val="center"/>
        </w:trPr>
        <w:tc>
          <w:tcPr>
            <w:tcW w:w="1980" w:type="dxa"/>
            <w:shd w:val="clear" w:color="auto" w:fill="auto"/>
          </w:tcPr>
          <w:p w14:paraId="6EC25AE5" w14:textId="314E0E95" w:rsidR="000B48E7" w:rsidRPr="00F6246A" w:rsidRDefault="00F6246A" w:rsidP="000B48E7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 xml:space="preserve">Кепілдің әрекет ету мерзімі 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125E7BF" w14:textId="4DC563D5" w:rsidR="000B48E7" w:rsidRPr="00A85952" w:rsidRDefault="00A85952" w:rsidP="00133400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Конкурстық/тендерлік/басқа да құжаттамаға сәйкес</w:t>
            </w:r>
            <w:r w:rsidR="00133400" w:rsidRPr="00A85952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</w:tr>
      <w:tr w:rsidR="000B48E7" w:rsidRPr="000B48E7" w14:paraId="1B9CE867" w14:textId="77777777" w:rsidTr="002047D4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B10E644" w14:textId="12413107" w:rsidR="000B48E7" w:rsidRPr="000B48E7" w:rsidRDefault="000B48E7" w:rsidP="000B48E7">
            <w:pPr>
              <w:spacing w:after="0"/>
              <w:rPr>
                <w:rFonts w:ascii="Times New Roman" w:hAnsi="Times New Roman"/>
                <w:b/>
              </w:rPr>
            </w:pPr>
            <w:r w:rsidRPr="00EA1A4E">
              <w:rPr>
                <w:rFonts w:ascii="Times New Roman" w:hAnsi="Times New Roman"/>
                <w:b/>
                <w:color w:val="98134B"/>
                <w:sz w:val="20"/>
                <w:szCs w:val="20"/>
              </w:rPr>
              <w:t>Комисси</w:t>
            </w:r>
            <w:r w:rsidR="00F6246A"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 xml:space="preserve">ялар </w:t>
            </w:r>
            <w:r w:rsidRPr="00EA1A4E">
              <w:rPr>
                <w:rFonts w:ascii="Times New Roman" w:hAnsi="Times New Roman"/>
                <w:b/>
                <w:color w:val="98134B"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61ED55D" w14:textId="7F826CFC" w:rsidR="00686C0A" w:rsidRPr="00272A3D" w:rsidRDefault="00686C0A" w:rsidP="00686C0A">
            <w:pPr>
              <w:pStyle w:val="ad"/>
              <w:numPr>
                <w:ilvl w:val="0"/>
                <w:numId w:val="2"/>
              </w:numPr>
              <w:tabs>
                <w:tab w:val="clear" w:pos="360"/>
                <w:tab w:val="num" w:pos="31"/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98134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5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Орташа айлық айналымдарды ескере отырып </w:t>
            </w:r>
            <w:r w:rsidRPr="0027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="00A85952">
              <w:rPr>
                <w:rFonts w:ascii="Times New Roman" w:eastAsia="Times New Roman" w:hAnsi="Times New Roman" w:cs="Times New Roman"/>
                <w:b/>
                <w:color w:val="98134B"/>
                <w:sz w:val="20"/>
                <w:szCs w:val="20"/>
                <w:lang w:val="kk-KZ" w:eastAsia="ru-RU"/>
              </w:rPr>
              <w:t>кепіл сомасының</w:t>
            </w:r>
            <w:r w:rsidR="00A85952" w:rsidRPr="00272A3D">
              <w:rPr>
                <w:rFonts w:ascii="Times New Roman" w:eastAsia="Times New Roman" w:hAnsi="Times New Roman" w:cs="Times New Roman"/>
                <w:b/>
                <w:color w:val="98134B"/>
                <w:sz w:val="20"/>
                <w:szCs w:val="20"/>
                <w:lang w:eastAsia="ru-RU"/>
              </w:rPr>
              <w:t xml:space="preserve"> </w:t>
            </w:r>
            <w:r w:rsidRPr="00272A3D">
              <w:rPr>
                <w:rFonts w:ascii="Times New Roman" w:eastAsia="Times New Roman" w:hAnsi="Times New Roman" w:cs="Times New Roman"/>
                <w:b/>
                <w:color w:val="98134B"/>
                <w:sz w:val="20"/>
                <w:szCs w:val="20"/>
                <w:lang w:eastAsia="ru-RU"/>
              </w:rPr>
              <w:t xml:space="preserve">1 %, </w:t>
            </w:r>
            <w:r w:rsidR="00A85952">
              <w:rPr>
                <w:rFonts w:ascii="Times New Roman" w:eastAsia="Times New Roman" w:hAnsi="Times New Roman" w:cs="Times New Roman"/>
                <w:b/>
                <w:color w:val="98134B"/>
                <w:sz w:val="20"/>
                <w:szCs w:val="20"/>
                <w:lang w:val="kk-KZ" w:eastAsia="ru-RU"/>
              </w:rPr>
              <w:t xml:space="preserve">ең кемі </w:t>
            </w:r>
            <w:r w:rsidRPr="00272A3D">
              <w:rPr>
                <w:rFonts w:ascii="Times New Roman" w:eastAsia="Times New Roman" w:hAnsi="Times New Roman" w:cs="Times New Roman"/>
                <w:b/>
                <w:color w:val="98134B"/>
                <w:sz w:val="20"/>
                <w:szCs w:val="20"/>
                <w:lang w:eastAsia="ru-RU"/>
              </w:rPr>
              <w:t>10 000 те</w:t>
            </w:r>
            <w:r w:rsidR="00A85952">
              <w:rPr>
                <w:rFonts w:ascii="Times New Roman" w:eastAsia="Times New Roman" w:hAnsi="Times New Roman" w:cs="Times New Roman"/>
                <w:b/>
                <w:color w:val="98134B"/>
                <w:sz w:val="20"/>
                <w:szCs w:val="20"/>
                <w:lang w:val="kk-KZ" w:eastAsia="ru-RU"/>
              </w:rPr>
              <w:t>ң</w:t>
            </w:r>
            <w:r w:rsidRPr="00272A3D">
              <w:rPr>
                <w:rFonts w:ascii="Times New Roman" w:eastAsia="Times New Roman" w:hAnsi="Times New Roman" w:cs="Times New Roman"/>
                <w:b/>
                <w:color w:val="98134B"/>
                <w:sz w:val="20"/>
                <w:szCs w:val="20"/>
                <w:lang w:eastAsia="ru-RU"/>
              </w:rPr>
              <w:t xml:space="preserve">ге; </w:t>
            </w:r>
          </w:p>
          <w:p w14:paraId="225E6D89" w14:textId="0FF67D92" w:rsidR="000B48E7" w:rsidRPr="000B48E7" w:rsidRDefault="00A85952" w:rsidP="00686C0A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A85952">
              <w:rPr>
                <w:rFonts w:ascii="Times New Roman" w:hAnsi="Times New Roman"/>
                <w:color w:val="000000"/>
                <w:sz w:val="20"/>
                <w:szCs w:val="20"/>
              </w:rPr>
              <w:t>Орташа айлық айналымдарды ескер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мегенде </w:t>
            </w:r>
            <w:r w:rsidR="00686C0A" w:rsidRPr="00272A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>кепіл сомасының</w:t>
            </w:r>
            <w:r w:rsidRPr="00272A3D">
              <w:rPr>
                <w:rFonts w:ascii="Times New Roman" w:hAnsi="Times New Roman"/>
                <w:b/>
                <w:color w:val="98134B"/>
                <w:sz w:val="20"/>
                <w:szCs w:val="20"/>
              </w:rPr>
              <w:t xml:space="preserve"> </w:t>
            </w:r>
            <w:r w:rsidR="00686C0A" w:rsidRPr="00272A3D">
              <w:rPr>
                <w:rFonts w:ascii="Times New Roman" w:hAnsi="Times New Roman"/>
                <w:b/>
                <w:color w:val="98134B"/>
                <w:sz w:val="20"/>
                <w:szCs w:val="20"/>
              </w:rPr>
              <w:t>2.5%,</w:t>
            </w:r>
            <w:r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 xml:space="preserve"> ең кемі</w:t>
            </w:r>
            <w:r w:rsidR="00686C0A" w:rsidRPr="00272A3D">
              <w:rPr>
                <w:rFonts w:ascii="Times New Roman" w:hAnsi="Times New Roman"/>
                <w:b/>
                <w:color w:val="98134B"/>
                <w:sz w:val="20"/>
                <w:szCs w:val="20"/>
              </w:rPr>
              <w:t xml:space="preserve"> 10 000 те</w:t>
            </w:r>
            <w:r>
              <w:rPr>
                <w:rFonts w:ascii="Times New Roman" w:hAnsi="Times New Roman"/>
                <w:b/>
                <w:color w:val="98134B"/>
                <w:sz w:val="20"/>
                <w:szCs w:val="20"/>
                <w:lang w:val="kk-KZ"/>
              </w:rPr>
              <w:t>ң</w:t>
            </w:r>
            <w:r w:rsidR="00686C0A" w:rsidRPr="00272A3D">
              <w:rPr>
                <w:rFonts w:ascii="Times New Roman" w:hAnsi="Times New Roman"/>
                <w:b/>
                <w:color w:val="98134B"/>
                <w:sz w:val="20"/>
                <w:szCs w:val="20"/>
              </w:rPr>
              <w:t>ге</w:t>
            </w:r>
          </w:p>
        </w:tc>
      </w:tr>
    </w:tbl>
    <w:p w14:paraId="75A3C3DF" w14:textId="630FD9AE" w:rsidR="001A445C" w:rsidRDefault="001A445C" w:rsidP="00924DBF">
      <w:pPr>
        <w:tabs>
          <w:tab w:val="left" w:pos="7995"/>
          <w:tab w:val="right" w:pos="9467"/>
        </w:tabs>
        <w:spacing w:after="0" w:line="240" w:lineRule="auto"/>
        <w:ind w:right="170"/>
        <w:rPr>
          <w:rFonts w:ascii="Times New Roman" w:hAnsi="Times New Roman"/>
          <w:b/>
          <w:bCs/>
        </w:rPr>
      </w:pPr>
    </w:p>
    <w:p w14:paraId="763AF389" w14:textId="38140A17" w:rsidR="001D4406" w:rsidRDefault="00F6246A" w:rsidP="007B7998">
      <w:pPr>
        <w:jc w:val="center"/>
        <w:rPr>
          <w:rFonts w:ascii="Times New Roman" w:hAnsi="Times New Roman"/>
          <w:b/>
          <w:color w:val="98134B"/>
          <w:sz w:val="20"/>
          <w:szCs w:val="20"/>
          <w:lang w:val="kk-KZ"/>
        </w:rPr>
      </w:pPr>
      <w:r>
        <w:rPr>
          <w:rFonts w:ascii="Times New Roman" w:hAnsi="Times New Roman"/>
          <w:b/>
          <w:color w:val="98134B"/>
          <w:sz w:val="20"/>
          <w:szCs w:val="20"/>
          <w:lang w:val="kk-KZ"/>
        </w:rPr>
        <w:t>Қажетті құжаттардың тізімі</w:t>
      </w:r>
      <w:r w:rsidR="007B7998" w:rsidRPr="00272A3D">
        <w:rPr>
          <w:rFonts w:ascii="Times New Roman" w:hAnsi="Times New Roman"/>
          <w:b/>
          <w:color w:val="98134B"/>
          <w:sz w:val="20"/>
          <w:szCs w:val="20"/>
          <w:lang w:val="kk-KZ"/>
        </w:rPr>
        <w:t xml:space="preserve">* </w:t>
      </w:r>
    </w:p>
    <w:tbl>
      <w:tblPr>
        <w:tblW w:w="111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99"/>
      </w:tblGrid>
      <w:tr w:rsidR="001D4406" w:rsidRPr="000E39BA" w14:paraId="16E07ACB" w14:textId="77777777" w:rsidTr="00D13296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E9DCD79" w14:textId="2CF5C50C" w:rsidR="001D4406" w:rsidRPr="001D4406" w:rsidRDefault="009833B0" w:rsidP="00D13296">
            <w:pPr>
              <w:tabs>
                <w:tab w:val="left" w:pos="26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Қосылу туралы өтінішті жасау үшін Клиент ұсынаты құжаттардың тізімі</w:t>
            </w:r>
            <w:r w:rsidR="001D4406" w:rsidRPr="001D440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:</w:t>
            </w:r>
          </w:p>
        </w:tc>
      </w:tr>
      <w:tr w:rsidR="007B7998" w:rsidRPr="000E39BA" w14:paraId="755AA99C" w14:textId="77777777" w:rsidTr="00D13296">
        <w:tc>
          <w:tcPr>
            <w:tcW w:w="11199" w:type="dxa"/>
          </w:tcPr>
          <w:p w14:paraId="2F5BF1DE" w14:textId="7EB8F852" w:rsidR="007B7998" w:rsidRPr="00835F0D" w:rsidRDefault="009833B0" w:rsidP="001179F2">
            <w:pPr>
              <w:numPr>
                <w:ilvl w:val="0"/>
                <w:numId w:val="4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33B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Бланкілі кепілдер бойынша қосылу туралы өтініш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ті жасауға Клиенттің </w:t>
            </w:r>
            <w:r w:rsidRPr="00835F0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заңды тұлғаның</w:t>
            </w:r>
            <w:r w:rsidRPr="00835F0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уәкілетті органының шешімі </w:t>
            </w:r>
            <w:r w:rsidR="007B7998" w:rsidRPr="00835F0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хаттама</w:t>
            </w:r>
            <w:r w:rsidR="007B7998" w:rsidRPr="00835F0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) </w:t>
            </w:r>
          </w:p>
        </w:tc>
      </w:tr>
      <w:tr w:rsidR="007B7998" w:rsidRPr="000E39BA" w14:paraId="090323D5" w14:textId="77777777" w:rsidTr="00D13296">
        <w:tc>
          <w:tcPr>
            <w:tcW w:w="11199" w:type="dxa"/>
          </w:tcPr>
          <w:p w14:paraId="3229CF51" w14:textId="1C050AF9" w:rsidR="007B7998" w:rsidRPr="00835F0D" w:rsidDel="00FE73CE" w:rsidRDefault="009833B0" w:rsidP="001179F2">
            <w:pPr>
              <w:numPr>
                <w:ilvl w:val="0"/>
                <w:numId w:val="4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Бланкілі кепілдер бойынша қосылу туралы өтініш</w:t>
            </w:r>
          </w:p>
        </w:tc>
      </w:tr>
      <w:tr w:rsidR="007B7998" w:rsidRPr="000E39BA" w14:paraId="190AFC6B" w14:textId="77777777" w:rsidTr="00D13296">
        <w:tc>
          <w:tcPr>
            <w:tcW w:w="11199" w:type="dxa"/>
          </w:tcPr>
          <w:p w14:paraId="588247D8" w14:textId="1F024CD0" w:rsidR="007B7998" w:rsidRPr="00835F0D" w:rsidRDefault="00A85952" w:rsidP="001179F2">
            <w:pPr>
              <w:numPr>
                <w:ilvl w:val="0"/>
                <w:numId w:val="4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Борышкер тұлғаның ол және оның өтініш бойынша банк шығарған кепілдер немесе кредиттік бюроға міндеттемелері туралы мәліметті банктің беруіне келісімі </w:t>
            </w:r>
          </w:p>
        </w:tc>
      </w:tr>
      <w:tr w:rsidR="007B7998" w:rsidRPr="00272A3D" w14:paraId="028E6AF7" w14:textId="77777777" w:rsidTr="00D13296">
        <w:tc>
          <w:tcPr>
            <w:tcW w:w="11199" w:type="dxa"/>
            <w:shd w:val="clear" w:color="auto" w:fill="BFBFBF" w:themeFill="background1" w:themeFillShade="BF"/>
          </w:tcPr>
          <w:p w14:paraId="55824B45" w14:textId="1AE47800" w:rsidR="007B7998" w:rsidRPr="000339CA" w:rsidRDefault="009833B0" w:rsidP="001179F2">
            <w:pPr>
              <w:tabs>
                <w:tab w:val="left" w:pos="26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Егер Клиент бейрезидент болса, онда келесі құжаттар ұсынылады</w:t>
            </w:r>
            <w:r w:rsidR="007B7998" w:rsidRPr="000339CA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:</w:t>
            </w:r>
          </w:p>
        </w:tc>
      </w:tr>
      <w:tr w:rsidR="007B7998" w:rsidRPr="00272A3D" w14:paraId="18396540" w14:textId="77777777" w:rsidTr="00D13296">
        <w:tc>
          <w:tcPr>
            <w:tcW w:w="11199" w:type="dxa"/>
          </w:tcPr>
          <w:p w14:paraId="2CAA317D" w14:textId="3CEB9599" w:rsidR="007B7998" w:rsidRPr="00272A3D" w:rsidRDefault="009833B0" w:rsidP="001179F2">
            <w:pPr>
              <w:numPr>
                <w:ilvl w:val="0"/>
                <w:numId w:val="4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Клиент мемлекетінің уәкілетті органы берген Бейрезидент заңды тұлғаның статусын куәландыратын құжат</w:t>
            </w:r>
            <w:r w:rsidR="007B7998" w:rsidRPr="00272A3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(</w:t>
            </w:r>
            <w:r w:rsidR="00C54C9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көшірмесі</w:t>
            </w:r>
            <w:r w:rsidR="007B7998" w:rsidRPr="00272A3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) – </w:t>
            </w:r>
            <w:r>
              <w:rPr>
                <w:rFonts w:ascii="Times New Roman" w:hAnsi="Times New Roman"/>
                <w:b/>
                <w:i/>
                <w:color w:val="98134B"/>
                <w:sz w:val="20"/>
                <w:szCs w:val="20"/>
                <w:lang w:val="kk-KZ"/>
              </w:rPr>
              <w:t>Банкте бұл құжат болса, ұсынылмайды</w:t>
            </w:r>
          </w:p>
        </w:tc>
      </w:tr>
      <w:tr w:rsidR="007B7998" w:rsidRPr="00272A3D" w14:paraId="049EF50D" w14:textId="77777777" w:rsidTr="00D13296">
        <w:trPr>
          <w:trHeight w:val="533"/>
        </w:trPr>
        <w:tc>
          <w:tcPr>
            <w:tcW w:w="11199" w:type="dxa"/>
          </w:tcPr>
          <w:p w14:paraId="6CEE14C0" w14:textId="1517037C" w:rsidR="007B7998" w:rsidRPr="00272A3D" w:rsidRDefault="009833B0" w:rsidP="001179F2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қызмет көрсететін банктен соңғы </w:t>
            </w:r>
            <w:r w:rsidRPr="00272A3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12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он екі</w:t>
            </w:r>
            <w:r w:rsidRPr="00272A3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айдағы айналымдары туралы анықтама </w:t>
            </w:r>
            <w:r w:rsidR="007B7998" w:rsidRPr="00272A3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(</w:t>
            </w:r>
            <w:r w:rsidR="00C54C9E" w:rsidRPr="00C54C9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түпнұсқасы</w:t>
            </w:r>
            <w:r w:rsidR="007B7998" w:rsidRPr="00272A3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). </w:t>
            </w:r>
            <w:r w:rsidR="007B7998" w:rsidRPr="00272A3D">
              <w:rPr>
                <w:rFonts w:ascii="Times New Roman" w:hAnsi="Times New Roman"/>
                <w:b/>
                <w:i/>
                <w:color w:val="98134B"/>
                <w:sz w:val="20"/>
                <w:szCs w:val="20"/>
                <w:lang w:val="kk-KZ"/>
              </w:rPr>
              <w:t>Предоставляется</w:t>
            </w:r>
            <w:r w:rsidR="0093777D">
              <w:rPr>
                <w:rFonts w:ascii="Times New Roman" w:hAnsi="Times New Roman"/>
                <w:b/>
                <w:i/>
                <w:color w:val="98134B"/>
                <w:sz w:val="20"/>
                <w:szCs w:val="20"/>
                <w:lang w:val="kk-KZ"/>
              </w:rPr>
              <w:t>,</w:t>
            </w:r>
            <w:r w:rsidR="007B7998" w:rsidRPr="00272A3D">
              <w:rPr>
                <w:rFonts w:ascii="Times New Roman" w:hAnsi="Times New Roman"/>
                <w:b/>
                <w:i/>
                <w:color w:val="98134B"/>
                <w:sz w:val="20"/>
                <w:szCs w:val="20"/>
                <w:lang w:val="kk-KZ"/>
              </w:rPr>
              <w:t xml:space="preserve"> </w:t>
            </w:r>
            <w:r w:rsidR="00336229">
              <w:rPr>
                <w:rFonts w:ascii="Times New Roman" w:hAnsi="Times New Roman"/>
                <w:b/>
                <w:i/>
                <w:color w:val="98134B"/>
                <w:sz w:val="20"/>
                <w:szCs w:val="20"/>
                <w:lang w:val="kk-KZ"/>
              </w:rPr>
              <w:t>Банкте Клиентке қызмет көрсету мерзімі 12 айдан кем  болса, ұсынылады</w:t>
            </w:r>
            <w:r w:rsidR="007B7998" w:rsidRPr="00272A3D">
              <w:rPr>
                <w:rFonts w:ascii="Times New Roman" w:hAnsi="Times New Roman"/>
                <w:color w:val="98134B"/>
                <w:sz w:val="20"/>
                <w:szCs w:val="20"/>
                <w:lang w:val="kk-KZ"/>
              </w:rPr>
              <w:t xml:space="preserve"> </w:t>
            </w:r>
          </w:p>
        </w:tc>
      </w:tr>
      <w:tr w:rsidR="007B7998" w:rsidRPr="00272A3D" w14:paraId="635B19F5" w14:textId="77777777" w:rsidTr="00D13296">
        <w:tc>
          <w:tcPr>
            <w:tcW w:w="11199" w:type="dxa"/>
            <w:shd w:val="clear" w:color="auto" w:fill="BFBFBF" w:themeFill="background1" w:themeFillShade="BF"/>
          </w:tcPr>
          <w:p w14:paraId="612BAB65" w14:textId="58F81272" w:rsidR="007B7998" w:rsidRPr="00B62718" w:rsidRDefault="00E651D4" w:rsidP="001179F2">
            <w:pPr>
              <w:tabs>
                <w:tab w:val="left" w:pos="26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Клиент әр Кепілді шығарған кезде ұсынатын құжаттар тізімі</w:t>
            </w:r>
            <w:r w:rsidR="007B7998" w:rsidRPr="00B62718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:</w:t>
            </w:r>
          </w:p>
        </w:tc>
      </w:tr>
      <w:tr w:rsidR="007B7998" w:rsidRPr="00272A3D" w14:paraId="4261E2F4" w14:textId="77777777" w:rsidTr="00D13296">
        <w:tc>
          <w:tcPr>
            <w:tcW w:w="11199" w:type="dxa"/>
          </w:tcPr>
          <w:p w14:paraId="38FFA4CB" w14:textId="2BE83C0F" w:rsidR="007B7998" w:rsidRPr="00272A3D" w:rsidRDefault="00336229" w:rsidP="001179F2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 xml:space="preserve">Бланктік кепілді беруге өтініш </w:t>
            </w:r>
            <w:r w:rsidR="007B7998" w:rsidRPr="00272A3D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C54C9E" w:rsidRPr="00C54C9E">
              <w:rPr>
                <w:rFonts w:ascii="Times New Roman" w:hAnsi="Times New Roman"/>
                <w:color w:val="000000"/>
                <w:sz w:val="20"/>
                <w:szCs w:val="20"/>
              </w:rPr>
              <w:t>түпнұсқасы</w:t>
            </w:r>
            <w:r w:rsidR="007B7998" w:rsidRPr="00272A3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7B7998" w:rsidRPr="00272A3D" w14:paraId="4F97D5FB" w14:textId="77777777" w:rsidTr="00D13296">
        <w:tc>
          <w:tcPr>
            <w:tcW w:w="11199" w:type="dxa"/>
          </w:tcPr>
          <w:p w14:paraId="404C7100" w14:textId="439CA6FA" w:rsidR="007B7998" w:rsidRPr="00272A3D" w:rsidRDefault="007B7998" w:rsidP="001179F2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2A3D">
              <w:rPr>
                <w:rFonts w:ascii="Times New Roman" w:hAnsi="Times New Roman"/>
                <w:color w:val="000000"/>
                <w:sz w:val="20"/>
                <w:szCs w:val="20"/>
              </w:rPr>
              <w:t>Конкурс</w:t>
            </w:r>
            <w:r w:rsidR="0033622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тық</w:t>
            </w:r>
            <w:r w:rsidRPr="00272A3D">
              <w:rPr>
                <w:rFonts w:ascii="Times New Roman" w:hAnsi="Times New Roman"/>
                <w:color w:val="000000"/>
                <w:sz w:val="20"/>
                <w:szCs w:val="20"/>
              </w:rPr>
              <w:t>/тендер</w:t>
            </w:r>
            <w:r w:rsidR="0033622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лік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33622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басқа құжаттама</w:t>
            </w:r>
            <w:r w:rsidRPr="00272A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C54C9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көшірмесі</w:t>
            </w:r>
            <w:r w:rsidRPr="00272A3D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C54C9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түпнұсқасы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54C9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немесе электронды түрде жіберіледі</w:t>
            </w:r>
            <w:r w:rsidRPr="00272A3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7B7998" w:rsidRPr="00272A3D" w14:paraId="7B0B7548" w14:textId="77777777" w:rsidTr="00D13296">
        <w:tc>
          <w:tcPr>
            <w:tcW w:w="11199" w:type="dxa"/>
          </w:tcPr>
          <w:p w14:paraId="0EF8D4E1" w14:textId="0835444D" w:rsidR="007B7998" w:rsidRPr="00272A3D" w:rsidRDefault="00336229" w:rsidP="00FB1C16">
            <w:pPr>
              <w:numPr>
                <w:ilvl w:val="0"/>
                <w:numId w:val="5"/>
              </w:numPr>
              <w:tabs>
                <w:tab w:val="left" w:pos="288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Сенімхат және кепілді алу түпнұсқасында тексерілгені туралы белгісі бар жеке куәліктің көшірмесі </w:t>
            </w:r>
            <w:r w:rsidR="007B7998" w:rsidRPr="00272A3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(</w:t>
            </w:r>
            <w:r w:rsidR="00C54C9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қажет болса</w:t>
            </w:r>
            <w:r w:rsidR="007B7998" w:rsidRPr="00272A3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)</w:t>
            </w:r>
          </w:p>
        </w:tc>
      </w:tr>
    </w:tbl>
    <w:p w14:paraId="75C69FF8" w14:textId="10B558ED" w:rsidR="007B7998" w:rsidRDefault="007B7998" w:rsidP="00EB5D85">
      <w:pPr>
        <w:ind w:left="-426" w:right="-283" w:firstLine="426"/>
        <w:jc w:val="both"/>
        <w:rPr>
          <w:rFonts w:ascii="Times New Roman" w:eastAsia="Calibri" w:hAnsi="Times New Roman"/>
          <w:color w:val="98134B"/>
          <w:sz w:val="20"/>
          <w:szCs w:val="20"/>
        </w:rPr>
      </w:pPr>
      <w:r w:rsidRPr="007540DE">
        <w:rPr>
          <w:rFonts w:ascii="Times New Roman" w:eastAsia="Calibri" w:hAnsi="Times New Roman"/>
          <w:b/>
          <w:color w:val="98134B"/>
          <w:sz w:val="20"/>
          <w:szCs w:val="20"/>
          <w:lang w:val="kk-KZ"/>
        </w:rPr>
        <w:t>*</w:t>
      </w:r>
      <w:r w:rsidRPr="007540DE">
        <w:rPr>
          <w:rFonts w:ascii="Times New Roman" w:eastAsia="Calibri" w:hAnsi="Times New Roman"/>
          <w:b/>
          <w:color w:val="98134B"/>
          <w:sz w:val="20"/>
          <w:szCs w:val="20"/>
        </w:rPr>
        <w:t xml:space="preserve"> </w:t>
      </w:r>
      <w:r w:rsidR="00F6246A">
        <w:rPr>
          <w:rFonts w:ascii="Times New Roman" w:eastAsia="Calibri" w:hAnsi="Times New Roman"/>
          <w:b/>
          <w:color w:val="98134B"/>
          <w:sz w:val="20"/>
          <w:szCs w:val="20"/>
          <w:lang w:val="kk-KZ"/>
        </w:rPr>
        <w:t>Ескертпе</w:t>
      </w:r>
      <w:r w:rsidRPr="00344295">
        <w:rPr>
          <w:rFonts w:ascii="Times New Roman" w:eastAsia="Calibri" w:hAnsi="Times New Roman"/>
          <w:b/>
          <w:color w:val="98134B"/>
          <w:sz w:val="20"/>
          <w:szCs w:val="20"/>
        </w:rPr>
        <w:t xml:space="preserve">: </w:t>
      </w:r>
      <w:r w:rsidR="004D29D8">
        <w:rPr>
          <w:rFonts w:ascii="Times New Roman" w:eastAsia="Calibri" w:hAnsi="Times New Roman"/>
          <w:color w:val="98134B"/>
          <w:sz w:val="20"/>
          <w:szCs w:val="20"/>
          <w:lang w:val="kk-KZ"/>
        </w:rPr>
        <w:t>бұл Тізімдеме</w:t>
      </w:r>
      <w:r w:rsidR="00E651D4">
        <w:rPr>
          <w:rFonts w:ascii="Times New Roman" w:eastAsia="Calibri" w:hAnsi="Times New Roman"/>
          <w:color w:val="98134B"/>
          <w:sz w:val="20"/>
          <w:szCs w:val="20"/>
          <w:lang w:val="kk-KZ"/>
        </w:rPr>
        <w:t xml:space="preserve"> соңғы емес, Банк Клиенттен қосымша құжаттарды сұратуға құқылы, соңғы меншік иесіне дейін ақпаратты жеткізу мақсатында </w:t>
      </w:r>
      <w:r w:rsidRPr="00344295">
        <w:rPr>
          <w:rFonts w:ascii="Times New Roman" w:eastAsia="Calibri" w:hAnsi="Times New Roman"/>
          <w:color w:val="98134B"/>
          <w:sz w:val="20"/>
          <w:szCs w:val="20"/>
        </w:rPr>
        <w:t>(«</w:t>
      </w:r>
      <w:r w:rsidR="00E651D4">
        <w:rPr>
          <w:rFonts w:ascii="Times New Roman" w:eastAsia="Calibri" w:hAnsi="Times New Roman"/>
          <w:color w:val="98134B"/>
          <w:sz w:val="20"/>
          <w:szCs w:val="20"/>
          <w:lang w:val="kk-KZ"/>
        </w:rPr>
        <w:t>Қазақстан Республикасындағы банктер және банк қызметі туралы</w:t>
      </w:r>
      <w:r w:rsidRPr="00344295">
        <w:rPr>
          <w:rFonts w:ascii="Times New Roman" w:eastAsia="Calibri" w:hAnsi="Times New Roman"/>
          <w:color w:val="98134B"/>
          <w:sz w:val="20"/>
          <w:szCs w:val="20"/>
        </w:rPr>
        <w:t>»</w:t>
      </w:r>
      <w:r w:rsidR="00E651D4">
        <w:rPr>
          <w:rFonts w:ascii="Times New Roman" w:eastAsia="Calibri" w:hAnsi="Times New Roman"/>
          <w:color w:val="98134B"/>
          <w:sz w:val="20"/>
          <w:szCs w:val="20"/>
          <w:lang w:val="kk-KZ"/>
        </w:rPr>
        <w:t xml:space="preserve"> ҚРЗ </w:t>
      </w:r>
      <w:r w:rsidR="00E651D4" w:rsidRPr="00344295">
        <w:rPr>
          <w:rFonts w:ascii="Times New Roman" w:eastAsia="Calibri" w:hAnsi="Times New Roman"/>
          <w:color w:val="98134B"/>
          <w:sz w:val="20"/>
          <w:szCs w:val="20"/>
        </w:rPr>
        <w:t>8-1</w:t>
      </w:r>
      <w:r w:rsidR="00E651D4">
        <w:rPr>
          <w:rFonts w:ascii="Times New Roman" w:eastAsia="Calibri" w:hAnsi="Times New Roman"/>
          <w:color w:val="98134B"/>
          <w:sz w:val="20"/>
          <w:szCs w:val="20"/>
          <w:lang w:val="kk-KZ"/>
        </w:rPr>
        <w:t xml:space="preserve"> б. Талаптарына сәйкес</w:t>
      </w:r>
      <w:r w:rsidRPr="00344295">
        <w:rPr>
          <w:rFonts w:ascii="Times New Roman" w:eastAsia="Calibri" w:hAnsi="Times New Roman"/>
          <w:color w:val="98134B"/>
          <w:sz w:val="20"/>
          <w:szCs w:val="20"/>
        </w:rPr>
        <w:t>)</w:t>
      </w:r>
      <w:r>
        <w:rPr>
          <w:rFonts w:ascii="Times New Roman" w:eastAsia="Calibri" w:hAnsi="Times New Roman"/>
          <w:color w:val="98134B"/>
          <w:sz w:val="20"/>
          <w:szCs w:val="20"/>
        </w:rPr>
        <w:t>.</w:t>
      </w:r>
    </w:p>
    <w:p w14:paraId="721ED83A" w14:textId="77777777" w:rsidR="007B7998" w:rsidRDefault="007B7998" w:rsidP="00924DBF">
      <w:pPr>
        <w:tabs>
          <w:tab w:val="left" w:pos="7995"/>
          <w:tab w:val="right" w:pos="9467"/>
        </w:tabs>
        <w:spacing w:after="0" w:line="240" w:lineRule="auto"/>
        <w:ind w:right="170"/>
        <w:rPr>
          <w:rFonts w:ascii="Times New Roman" w:hAnsi="Times New Roman"/>
          <w:b/>
          <w:bCs/>
        </w:rPr>
      </w:pPr>
    </w:p>
    <w:sectPr w:rsidR="007B7998" w:rsidSect="00EB5D85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32F4F" w14:textId="77777777" w:rsidR="00ED5355" w:rsidRDefault="00ED5355" w:rsidP="006C736F">
      <w:pPr>
        <w:spacing w:after="0" w:line="240" w:lineRule="auto"/>
      </w:pPr>
      <w:r>
        <w:separator/>
      </w:r>
    </w:p>
  </w:endnote>
  <w:endnote w:type="continuationSeparator" w:id="0">
    <w:p w14:paraId="7DC58FF2" w14:textId="77777777" w:rsidR="00ED5355" w:rsidRDefault="00ED5355" w:rsidP="006C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656D5" w14:textId="77777777" w:rsidR="00ED5355" w:rsidRDefault="00ED5355" w:rsidP="006C736F">
      <w:pPr>
        <w:spacing w:after="0" w:line="240" w:lineRule="auto"/>
      </w:pPr>
      <w:r>
        <w:separator/>
      </w:r>
    </w:p>
  </w:footnote>
  <w:footnote w:type="continuationSeparator" w:id="0">
    <w:p w14:paraId="48FBDF1F" w14:textId="77777777" w:rsidR="00ED5355" w:rsidRDefault="00ED5355" w:rsidP="006C7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5EEE"/>
    <w:multiLevelType w:val="hybridMultilevel"/>
    <w:tmpl w:val="181A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B0C38"/>
    <w:multiLevelType w:val="hybridMultilevel"/>
    <w:tmpl w:val="C6121B42"/>
    <w:lvl w:ilvl="0" w:tplc="052497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A2E5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C409D"/>
    <w:multiLevelType w:val="hybridMultilevel"/>
    <w:tmpl w:val="51B2A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03DB9"/>
    <w:multiLevelType w:val="hybridMultilevel"/>
    <w:tmpl w:val="54409C6A"/>
    <w:lvl w:ilvl="0" w:tplc="03F899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9813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235AE"/>
    <w:multiLevelType w:val="multilevel"/>
    <w:tmpl w:val="2C50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A2E5C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5F"/>
    <w:rsid w:val="00005F77"/>
    <w:rsid w:val="00006E58"/>
    <w:rsid w:val="000073F4"/>
    <w:rsid w:val="00012EF9"/>
    <w:rsid w:val="00026292"/>
    <w:rsid w:val="00027572"/>
    <w:rsid w:val="0003073A"/>
    <w:rsid w:val="00031833"/>
    <w:rsid w:val="000339CA"/>
    <w:rsid w:val="0005302E"/>
    <w:rsid w:val="0005484E"/>
    <w:rsid w:val="00057937"/>
    <w:rsid w:val="000670F5"/>
    <w:rsid w:val="000709D8"/>
    <w:rsid w:val="00086E2E"/>
    <w:rsid w:val="00093507"/>
    <w:rsid w:val="000B023B"/>
    <w:rsid w:val="000B48E7"/>
    <w:rsid w:val="000C0E80"/>
    <w:rsid w:val="000C48A0"/>
    <w:rsid w:val="000C5BB7"/>
    <w:rsid w:val="000D33A8"/>
    <w:rsid w:val="000D48D6"/>
    <w:rsid w:val="000E39BA"/>
    <w:rsid w:val="000F498E"/>
    <w:rsid w:val="00113909"/>
    <w:rsid w:val="00116310"/>
    <w:rsid w:val="00117A44"/>
    <w:rsid w:val="00133400"/>
    <w:rsid w:val="00133C07"/>
    <w:rsid w:val="001768D5"/>
    <w:rsid w:val="00180E14"/>
    <w:rsid w:val="00182B39"/>
    <w:rsid w:val="00190410"/>
    <w:rsid w:val="00191207"/>
    <w:rsid w:val="001927BA"/>
    <w:rsid w:val="001A3954"/>
    <w:rsid w:val="001A445C"/>
    <w:rsid w:val="001A6348"/>
    <w:rsid w:val="001A7724"/>
    <w:rsid w:val="001D141E"/>
    <w:rsid w:val="001D4406"/>
    <w:rsid w:val="001D765F"/>
    <w:rsid w:val="00202634"/>
    <w:rsid w:val="002047D4"/>
    <w:rsid w:val="0022251D"/>
    <w:rsid w:val="002505E8"/>
    <w:rsid w:val="00260573"/>
    <w:rsid w:val="00287FD3"/>
    <w:rsid w:val="00293B64"/>
    <w:rsid w:val="00294AE7"/>
    <w:rsid w:val="00294B2C"/>
    <w:rsid w:val="002A6A93"/>
    <w:rsid w:val="002C18B7"/>
    <w:rsid w:val="002C367D"/>
    <w:rsid w:val="002E304A"/>
    <w:rsid w:val="002F1721"/>
    <w:rsid w:val="002F3AEB"/>
    <w:rsid w:val="00303567"/>
    <w:rsid w:val="003305AD"/>
    <w:rsid w:val="00336229"/>
    <w:rsid w:val="00356118"/>
    <w:rsid w:val="00367630"/>
    <w:rsid w:val="00375371"/>
    <w:rsid w:val="003A6EE7"/>
    <w:rsid w:val="003B4EC9"/>
    <w:rsid w:val="003C313C"/>
    <w:rsid w:val="003D4F68"/>
    <w:rsid w:val="003E2B9D"/>
    <w:rsid w:val="003E4356"/>
    <w:rsid w:val="003E6873"/>
    <w:rsid w:val="0040124B"/>
    <w:rsid w:val="004165E6"/>
    <w:rsid w:val="0043234C"/>
    <w:rsid w:val="00437BCF"/>
    <w:rsid w:val="004650B1"/>
    <w:rsid w:val="0047554B"/>
    <w:rsid w:val="00486B5C"/>
    <w:rsid w:val="00486F8D"/>
    <w:rsid w:val="004B19D9"/>
    <w:rsid w:val="004B6BEC"/>
    <w:rsid w:val="004C2BE7"/>
    <w:rsid w:val="004C66A2"/>
    <w:rsid w:val="004D2321"/>
    <w:rsid w:val="004D29D8"/>
    <w:rsid w:val="004E0A29"/>
    <w:rsid w:val="004F4FCD"/>
    <w:rsid w:val="004F6631"/>
    <w:rsid w:val="00525C7C"/>
    <w:rsid w:val="005533B7"/>
    <w:rsid w:val="00553EBD"/>
    <w:rsid w:val="00575584"/>
    <w:rsid w:val="005B1357"/>
    <w:rsid w:val="005B2FC1"/>
    <w:rsid w:val="005B74B8"/>
    <w:rsid w:val="005B7CC5"/>
    <w:rsid w:val="005D7A49"/>
    <w:rsid w:val="005E60EA"/>
    <w:rsid w:val="005E6EAC"/>
    <w:rsid w:val="005F2152"/>
    <w:rsid w:val="00604E34"/>
    <w:rsid w:val="00607298"/>
    <w:rsid w:val="006244F6"/>
    <w:rsid w:val="00627256"/>
    <w:rsid w:val="0065155A"/>
    <w:rsid w:val="00651AC0"/>
    <w:rsid w:val="00661688"/>
    <w:rsid w:val="00686C0A"/>
    <w:rsid w:val="0069440A"/>
    <w:rsid w:val="006A2B3B"/>
    <w:rsid w:val="006B733C"/>
    <w:rsid w:val="006C38EB"/>
    <w:rsid w:val="006C736F"/>
    <w:rsid w:val="006E2BE1"/>
    <w:rsid w:val="006F520C"/>
    <w:rsid w:val="00706D5E"/>
    <w:rsid w:val="00715072"/>
    <w:rsid w:val="00715A77"/>
    <w:rsid w:val="00733900"/>
    <w:rsid w:val="007419E7"/>
    <w:rsid w:val="00743474"/>
    <w:rsid w:val="00746D64"/>
    <w:rsid w:val="007540DE"/>
    <w:rsid w:val="0076230A"/>
    <w:rsid w:val="00766813"/>
    <w:rsid w:val="007819BC"/>
    <w:rsid w:val="0078283C"/>
    <w:rsid w:val="00795944"/>
    <w:rsid w:val="007A211B"/>
    <w:rsid w:val="007B2F78"/>
    <w:rsid w:val="007B7998"/>
    <w:rsid w:val="007C48E3"/>
    <w:rsid w:val="007D7FD2"/>
    <w:rsid w:val="007F474A"/>
    <w:rsid w:val="00835F0D"/>
    <w:rsid w:val="008362D0"/>
    <w:rsid w:val="00855528"/>
    <w:rsid w:val="00877DD6"/>
    <w:rsid w:val="00883269"/>
    <w:rsid w:val="008934C5"/>
    <w:rsid w:val="008B6BEB"/>
    <w:rsid w:val="008D2AB6"/>
    <w:rsid w:val="008E1F8C"/>
    <w:rsid w:val="008E2557"/>
    <w:rsid w:val="008F6AAE"/>
    <w:rsid w:val="00903886"/>
    <w:rsid w:val="0091003C"/>
    <w:rsid w:val="0091073F"/>
    <w:rsid w:val="009233E7"/>
    <w:rsid w:val="00924DBF"/>
    <w:rsid w:val="00935A10"/>
    <w:rsid w:val="0093777D"/>
    <w:rsid w:val="0095041D"/>
    <w:rsid w:val="009564EB"/>
    <w:rsid w:val="00970765"/>
    <w:rsid w:val="00975998"/>
    <w:rsid w:val="009833B0"/>
    <w:rsid w:val="00983DB8"/>
    <w:rsid w:val="009B299C"/>
    <w:rsid w:val="009C0D8A"/>
    <w:rsid w:val="009C63D4"/>
    <w:rsid w:val="009D4A30"/>
    <w:rsid w:val="009D78F0"/>
    <w:rsid w:val="00A2733B"/>
    <w:rsid w:val="00A276E3"/>
    <w:rsid w:val="00A42C79"/>
    <w:rsid w:val="00A54A54"/>
    <w:rsid w:val="00A62317"/>
    <w:rsid w:val="00A85952"/>
    <w:rsid w:val="00AA0E63"/>
    <w:rsid w:val="00AB0D3D"/>
    <w:rsid w:val="00AB28E7"/>
    <w:rsid w:val="00AC1DD5"/>
    <w:rsid w:val="00AD13B6"/>
    <w:rsid w:val="00AE0D8D"/>
    <w:rsid w:val="00AF5109"/>
    <w:rsid w:val="00AF6EDA"/>
    <w:rsid w:val="00B03AF4"/>
    <w:rsid w:val="00B05560"/>
    <w:rsid w:val="00B21B15"/>
    <w:rsid w:val="00B37296"/>
    <w:rsid w:val="00B43F08"/>
    <w:rsid w:val="00B62718"/>
    <w:rsid w:val="00B70B58"/>
    <w:rsid w:val="00B73B57"/>
    <w:rsid w:val="00B90ED4"/>
    <w:rsid w:val="00B933F3"/>
    <w:rsid w:val="00BA320E"/>
    <w:rsid w:val="00BB5851"/>
    <w:rsid w:val="00BC01D3"/>
    <w:rsid w:val="00BC0C6C"/>
    <w:rsid w:val="00BD0FEE"/>
    <w:rsid w:val="00C203C2"/>
    <w:rsid w:val="00C20A29"/>
    <w:rsid w:val="00C34696"/>
    <w:rsid w:val="00C54C9E"/>
    <w:rsid w:val="00C662F4"/>
    <w:rsid w:val="00C7724E"/>
    <w:rsid w:val="00C81C3F"/>
    <w:rsid w:val="00C83784"/>
    <w:rsid w:val="00C83D75"/>
    <w:rsid w:val="00C9384D"/>
    <w:rsid w:val="00CA5665"/>
    <w:rsid w:val="00CC0CDE"/>
    <w:rsid w:val="00CC1A2B"/>
    <w:rsid w:val="00CC66E2"/>
    <w:rsid w:val="00CE1F7F"/>
    <w:rsid w:val="00CE6C11"/>
    <w:rsid w:val="00CE6FE8"/>
    <w:rsid w:val="00D01ABD"/>
    <w:rsid w:val="00D13296"/>
    <w:rsid w:val="00D2114B"/>
    <w:rsid w:val="00D41C19"/>
    <w:rsid w:val="00D47E25"/>
    <w:rsid w:val="00D60A77"/>
    <w:rsid w:val="00D97500"/>
    <w:rsid w:val="00DA1858"/>
    <w:rsid w:val="00DA3160"/>
    <w:rsid w:val="00DB2DCC"/>
    <w:rsid w:val="00DF3056"/>
    <w:rsid w:val="00E00A67"/>
    <w:rsid w:val="00E036C2"/>
    <w:rsid w:val="00E155F4"/>
    <w:rsid w:val="00E21BC9"/>
    <w:rsid w:val="00E23A58"/>
    <w:rsid w:val="00E435C2"/>
    <w:rsid w:val="00E4460E"/>
    <w:rsid w:val="00E651D4"/>
    <w:rsid w:val="00EA1A4E"/>
    <w:rsid w:val="00EB5D85"/>
    <w:rsid w:val="00EC6887"/>
    <w:rsid w:val="00ED5355"/>
    <w:rsid w:val="00EE6326"/>
    <w:rsid w:val="00F10C1D"/>
    <w:rsid w:val="00F11321"/>
    <w:rsid w:val="00F27216"/>
    <w:rsid w:val="00F32E02"/>
    <w:rsid w:val="00F42936"/>
    <w:rsid w:val="00F432CE"/>
    <w:rsid w:val="00F51F95"/>
    <w:rsid w:val="00F54359"/>
    <w:rsid w:val="00F610C3"/>
    <w:rsid w:val="00F6246A"/>
    <w:rsid w:val="00F63588"/>
    <w:rsid w:val="00F6407A"/>
    <w:rsid w:val="00F6740D"/>
    <w:rsid w:val="00F713F8"/>
    <w:rsid w:val="00F80575"/>
    <w:rsid w:val="00F929DD"/>
    <w:rsid w:val="00F95C03"/>
    <w:rsid w:val="00FB1C16"/>
    <w:rsid w:val="00FD503D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9422"/>
  <w15:docId w15:val="{BDC1136A-90CA-4B5A-8804-DD0EF1DE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6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C73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C73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C736F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4650B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0B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0B1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0B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0B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50B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B48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Revision"/>
    <w:hidden/>
    <w:uiPriority w:val="99"/>
    <w:semiHidden/>
    <w:rsid w:val="004B19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rsid w:val="00133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Yermekbayeva, Saule (Fortebank)</dc:creator>
  <cp:lastModifiedBy>Dyussembayeva, Bibigul (Fortebank)</cp:lastModifiedBy>
  <cp:revision>2</cp:revision>
  <cp:lastPrinted>2018-01-10T03:24:00Z</cp:lastPrinted>
  <dcterms:created xsi:type="dcterms:W3CDTF">2023-02-20T03:45:00Z</dcterms:created>
  <dcterms:modified xsi:type="dcterms:W3CDTF">2023-02-20T03:45:00Z</dcterms:modified>
</cp:coreProperties>
</file>